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81" w:rsidRDefault="00757281" w:rsidP="00757281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Преимущественное право выкупа движимого имущества</w:t>
      </w:r>
    </w:p>
    <w:p w:rsidR="00757281" w:rsidRDefault="00757281" w:rsidP="00757281">
      <w:pPr>
        <w:pStyle w:val="af3"/>
        <w:jc w:val="both"/>
      </w:pP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>Федеральным законом от 29.12.2022 № 605-ФЗ «О внесении изменений в отдельные законодательные акты Российской Федерации» внесены изменения в Федеральный закон от 22 июля 2008 года № 159-ФЗ                                   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в Федеральный закон от 24 июля 2007 года № 209-ФЗ «О развитии малого и среднего предпринимательства в Российской Федерации</w:t>
      </w:r>
      <w:r>
        <w:t xml:space="preserve">». 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>С 1 марта 2023 года, субъектам малого и среднего предпринимательства (далее - МСП) предоставлено преимущественное право выкупа арендуемого ими движимого имущества, находящегося в государственной или муниципальной собственности.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Послабление не предоставят, например, участникам рынка ценных бумаг и представителям игорного бизнеса. 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>Действие данных положений распространяется на правоотношения, возникшие из ранее заключенных с субъектами МСП договоров аренды движимого имущества, находящегося в государственной или муниципальной собственности.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> К движимому имуществу относятся все вещи, которые не являются недвижимыми, в том числе деньги и ценные бумаги.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 xml:space="preserve">Движимые вещи не имеют прочной связи с землей, поэтому их можно перемещать без несоразмерного ущерба назначению. К примеру, почти все транспортные средства, оборудование - это движимое имущество. 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 xml:space="preserve">Не допускается отказ в приобретении арендуемого движимого имущества, включенного в перечень государственного или муниципального имущества, предназначенного для передачи во владение или в пользование субъектам МСП, по причине отнесения его к имуществу, отчуждение которого не допускается, если на день подачи субъектом МСП заявления в указанном перечне отсутствовали сведения о таком отнесении. 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лиц, с ежегодным до 1 ноября текущего года дополнением таких перечней государственным имуществом и муниципальным имуществом. Государственное и муниципальное имущество, </w:t>
      </w:r>
      <w:r>
        <w:rPr>
          <w:sz w:val="28"/>
          <w:szCs w:val="28"/>
        </w:rPr>
        <w:lastRenderedPageBreak/>
        <w:t xml:space="preserve">включенное в указанные перечни,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</w:p>
    <w:p w:rsidR="00757281" w:rsidRDefault="00757281" w:rsidP="00757281">
      <w:pPr>
        <w:pStyle w:val="af3"/>
        <w:jc w:val="both"/>
      </w:pPr>
      <w:r>
        <w:rPr>
          <w:sz w:val="28"/>
          <w:szCs w:val="28"/>
        </w:rPr>
        <w:t>Срок рассрочки оплаты движимого имущества при реализации преимущественного права на его приобретение не должен составлять менее 3 лет.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57281"/>
    <w:rsid w:val="001F185F"/>
    <w:rsid w:val="00217A2D"/>
    <w:rsid w:val="0037624A"/>
    <w:rsid w:val="0058381A"/>
    <w:rsid w:val="005945D8"/>
    <w:rsid w:val="00757281"/>
    <w:rsid w:val="009049C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757281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2023-05-18T08:38:00Z</dcterms:created>
  <dcterms:modified xsi:type="dcterms:W3CDTF">2023-05-18T08:38:00Z</dcterms:modified>
</cp:coreProperties>
</file>