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58" w:rsidRPr="00204158" w:rsidRDefault="00204158" w:rsidP="00204158">
      <w:pPr>
        <w:pStyle w:val="af3"/>
        <w:shd w:val="clear" w:color="auto" w:fill="FFFFFF"/>
        <w:spacing w:before="92" w:beforeAutospacing="0" w:after="161" w:afterAutospacing="0"/>
        <w:jc w:val="center"/>
        <w:rPr>
          <w:b/>
          <w:bCs/>
          <w:color w:val="273350"/>
          <w:sz w:val="18"/>
          <w:szCs w:val="18"/>
        </w:rPr>
      </w:pPr>
      <w:r w:rsidRPr="00204158">
        <w:rPr>
          <w:rStyle w:val="a7"/>
          <w:rFonts w:eastAsiaTheme="majorEastAsia"/>
          <w:color w:val="273350"/>
          <w:sz w:val="18"/>
          <w:szCs w:val="18"/>
        </w:rPr>
        <w:t>С сентября 2024 года увеличатся требования к управляющим компаниям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Согласно положениям жилищного законодательства деятельность по управлению многоквартирными домами управляющими организациями осуществляется </w:t>
      </w:r>
      <w:r w:rsidRPr="00204158">
        <w:rPr>
          <w:rStyle w:val="a7"/>
          <w:rFonts w:eastAsiaTheme="majorEastAsia"/>
          <w:color w:val="273350"/>
          <w:sz w:val="18"/>
          <w:szCs w:val="18"/>
        </w:rPr>
        <w:t>на основании лицензии</w:t>
      </w:r>
      <w:r w:rsidRPr="00204158">
        <w:rPr>
          <w:color w:val="273350"/>
          <w:sz w:val="18"/>
          <w:szCs w:val="18"/>
        </w:rPr>
        <w:t xml:space="preserve">, предоставленной органом государственного жилищного надзора (в Республике Коми – Службой </w:t>
      </w:r>
      <w:proofErr w:type="spellStart"/>
      <w:r w:rsidRPr="00204158">
        <w:rPr>
          <w:color w:val="273350"/>
          <w:sz w:val="18"/>
          <w:szCs w:val="18"/>
        </w:rPr>
        <w:t>Стройжилтехнадзора</w:t>
      </w:r>
      <w:proofErr w:type="spellEnd"/>
      <w:r w:rsidRPr="00204158">
        <w:rPr>
          <w:color w:val="273350"/>
          <w:sz w:val="18"/>
          <w:szCs w:val="18"/>
        </w:rPr>
        <w:t>)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Напомним, что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в целях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имуществом.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Лицензия предоставляется сроком на пять лет и действует только на территории субъекта Российской Федерации, органом государственного жилищного надзора которого она предоставлена.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В статье 193 Жилищного кодекса Российской Федерации (далее – ЖК РФ) установлены лицензионные требования к управлению многоквартирными домами, к которым относятся: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1) регистрация лицензиата, соискателя лицензии в качестве юридического лица или индивидуального предпринимателя на территории Российской Федерации;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1.1)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           2) 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домом) лицензиата, соискателя лицензии квалификационного аттестата;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           3) отсутствие у должностного лица лицензиата, должностного лица соискателя лицензии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           4) 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5)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лицензии, ранее предоставленной лицензиату, соискателю лицензии;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6.1) соблюдение лицензиатом требований к размещению информации, установленных частью 10.1 статьи 161 ЖК РФ;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7) иные требования, установленные постановлением Правительства РФ от 28.10.2014 № 1110 «О лицензировании предпринимательской деятельности по управлению многоквартирными домами».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           Федеральным законом от 25.12.2023 № 662-ФЗ в статью 193 ЖК РФ внесены изменения, согласно которым к данным требованиям добавятся: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 xml:space="preserve">            - </w:t>
      </w:r>
      <w:proofErr w:type="spellStart"/>
      <w:r w:rsidRPr="00204158">
        <w:rPr>
          <w:color w:val="273350"/>
          <w:sz w:val="18"/>
          <w:szCs w:val="18"/>
        </w:rPr>
        <w:t>непривлечение</w:t>
      </w:r>
      <w:proofErr w:type="spellEnd"/>
      <w:r w:rsidRPr="00204158">
        <w:rPr>
          <w:color w:val="273350"/>
          <w:sz w:val="18"/>
          <w:szCs w:val="18"/>
        </w:rPr>
        <w:t xml:space="preserve"> к административной ответственности лицензиата, соискателя лицензии за грубое нарушение лицензионных требований в течение 3 лет, предшествующих дате получения лицензии, дате продления срока ее действия;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- отсутствие в Едином федеральном реестре сведений о банкротстве информации о банкротстве юридического лица, которое осуществляло деятельность по управлению многоквартирными домами и должностными лицами и (или) учредителями которого являлись должностные лица и (или) учредители соискателя лицензии, в течение 3 лет, предшествующих дате обращения за лицензией такого соискателя лицензии.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           Изменения вступят в силу с 1 сентября 2024 года.</w:t>
      </w:r>
    </w:p>
    <w:p w:rsidR="00204158" w:rsidRPr="00204158" w:rsidRDefault="00204158" w:rsidP="00204158">
      <w:pPr>
        <w:pStyle w:val="af3"/>
        <w:shd w:val="clear" w:color="auto" w:fill="FFFFFF"/>
        <w:spacing w:before="69" w:beforeAutospacing="0" w:after="161" w:afterAutospacing="0"/>
        <w:rPr>
          <w:color w:val="273350"/>
          <w:sz w:val="18"/>
          <w:szCs w:val="18"/>
        </w:rPr>
      </w:pPr>
      <w:r w:rsidRPr="00204158">
        <w:rPr>
          <w:color w:val="273350"/>
          <w:sz w:val="18"/>
          <w:szCs w:val="18"/>
        </w:rPr>
        <w:t> </w:t>
      </w:r>
    </w:p>
    <w:p w:rsidR="00204158" w:rsidRPr="00204158" w:rsidRDefault="00204158" w:rsidP="00204158">
      <w:pPr>
        <w:pStyle w:val="af3"/>
        <w:shd w:val="clear" w:color="auto" w:fill="FFFFFF"/>
        <w:spacing w:before="92" w:beforeAutospacing="0" w:after="161" w:afterAutospacing="0"/>
        <w:jc w:val="center"/>
        <w:rPr>
          <w:b/>
          <w:bCs/>
          <w:color w:val="273350"/>
          <w:sz w:val="18"/>
          <w:szCs w:val="18"/>
        </w:rPr>
      </w:pPr>
      <w:r w:rsidRPr="00204158">
        <w:rPr>
          <w:b/>
          <w:bCs/>
          <w:color w:val="273350"/>
          <w:sz w:val="18"/>
          <w:szCs w:val="18"/>
        </w:rPr>
        <w:t xml:space="preserve"> </w:t>
      </w:r>
    </w:p>
    <w:p w:rsidR="00204158" w:rsidRPr="00204158" w:rsidRDefault="006F76A0" w:rsidP="00204158">
      <w:pPr>
        <w:pStyle w:val="af3"/>
        <w:shd w:val="clear" w:color="auto" w:fill="FFFFFF"/>
        <w:spacing w:before="69" w:beforeAutospacing="0" w:after="161" w:afterAutospacing="0"/>
        <w:jc w:val="both"/>
        <w:rPr>
          <w:color w:val="273350"/>
          <w:sz w:val="18"/>
          <w:szCs w:val="18"/>
        </w:rPr>
      </w:pPr>
      <w:r>
        <w:rPr>
          <w:color w:val="273350"/>
          <w:sz w:val="18"/>
          <w:szCs w:val="18"/>
        </w:rPr>
        <w:t xml:space="preserve"> </w:t>
      </w:r>
    </w:p>
    <w:p w:rsidR="00BB51C7" w:rsidRPr="00204158" w:rsidRDefault="00BB51C7" w:rsidP="00204158">
      <w:pPr>
        <w:rPr>
          <w:sz w:val="18"/>
          <w:szCs w:val="18"/>
        </w:rPr>
      </w:pPr>
    </w:p>
    <w:sectPr w:rsidR="00BB51C7" w:rsidRPr="00204158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04158"/>
    <w:rsid w:val="001F185F"/>
    <w:rsid w:val="00204158"/>
    <w:rsid w:val="00217A2D"/>
    <w:rsid w:val="0037624A"/>
    <w:rsid w:val="005945D8"/>
    <w:rsid w:val="006118E1"/>
    <w:rsid w:val="006E5B67"/>
    <w:rsid w:val="006F76A0"/>
    <w:rsid w:val="009049C2"/>
    <w:rsid w:val="00957B5A"/>
    <w:rsid w:val="00995C6C"/>
    <w:rsid w:val="009E7541"/>
    <w:rsid w:val="00BB51C7"/>
    <w:rsid w:val="00CD02A2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204158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3408</Characters>
  <Application>Microsoft Office Word</Application>
  <DocSecurity>0</DocSecurity>
  <Lines>28</Lines>
  <Paragraphs>7</Paragraphs>
  <ScaleCrop>false</ScaleCrop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2024-04-09T12:45:00Z</dcterms:created>
  <dcterms:modified xsi:type="dcterms:W3CDTF">2024-04-09T12:54:00Z</dcterms:modified>
</cp:coreProperties>
</file>